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96FA2" w14:textId="31C3DFA0"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D31D0B">
        <w:rPr>
          <w:rFonts w:ascii="Calibri" w:hAnsi="Calibri"/>
          <w:color w:val="00558C"/>
          <w:sz w:val="24"/>
          <w:szCs w:val="24"/>
        </w:rPr>
        <w:t>VTS60-6.2.2</w:t>
      </w:r>
    </w:p>
    <w:p w14:paraId="780C53EB" w14:textId="77777777" w:rsidR="00D019CE" w:rsidRPr="007A395D" w:rsidRDefault="00D019CE" w:rsidP="00FE5674">
      <w:pPr>
        <w:pStyle w:val="BodyText"/>
        <w:tabs>
          <w:tab w:val="left" w:pos="2835"/>
        </w:tabs>
        <w:rPr>
          <w:rFonts w:ascii="Calibri" w:hAnsi="Calibri"/>
        </w:rPr>
      </w:pPr>
    </w:p>
    <w:p w14:paraId="0BFC55CF" w14:textId="77777777"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6A74AE5A" w14:textId="77777777"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1951AFD4" w14:textId="77777777" w:rsidR="0080294B" w:rsidRPr="00B0084A" w:rsidRDefault="00665FF4"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6DD31887" w14:textId="77777777" w:rsidR="0080294B" w:rsidRPr="00D31D0B" w:rsidRDefault="00665FF4"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EndPr/>
        <w:sdtContent>
          <w:r w:rsidR="00221E08" w:rsidRPr="00D31D0B">
            <w:rPr>
              <w:rFonts w:ascii="MS Gothic" w:eastAsia="MS Gothic" w:hAnsi="MS Gothic" w:cs="Arial" w:hint="eastAsia"/>
              <w:b/>
              <w:lang w:val="sv-SE"/>
            </w:rPr>
            <w:t>☐</w:t>
          </w:r>
        </w:sdtContent>
      </w:sdt>
      <w:r w:rsidR="0080294B" w:rsidRPr="00D31D0B">
        <w:rPr>
          <w:rFonts w:ascii="Calibri" w:hAnsi="Calibri" w:cs="Arial"/>
          <w:lang w:val="sv-SE"/>
        </w:rPr>
        <w:t xml:space="preserve"> ENAV</w:t>
      </w:r>
      <w:r w:rsidR="0080294B" w:rsidRPr="00D31D0B">
        <w:rPr>
          <w:rFonts w:ascii="Calibri" w:hAnsi="Calibri" w:cs="Arial"/>
          <w:b/>
          <w:lang w:val="sv-SE"/>
        </w:rPr>
        <w:tab/>
      </w:r>
      <w:sdt>
        <w:sdtPr>
          <w:rPr>
            <w:rFonts w:ascii="Calibri" w:hAnsi="Calibri" w:cs="Arial"/>
            <w:b/>
            <w:lang w:val="sv-SE"/>
          </w:rPr>
          <w:id w:val="1574472571"/>
          <w14:checkbox>
            <w14:checked w14:val="1"/>
            <w14:checkedState w14:val="2612" w14:font="MS Gothic"/>
            <w14:uncheckedState w14:val="2610" w14:font="MS Gothic"/>
          </w14:checkbox>
        </w:sdtPr>
        <w:sdtEndPr/>
        <w:sdtContent>
          <w:r w:rsidR="00651B21" w:rsidRPr="00D31D0B">
            <w:rPr>
              <w:rFonts w:ascii="MS Gothic" w:eastAsia="MS Gothic" w:hAnsi="MS Gothic" w:cs="Arial" w:hint="eastAsia"/>
              <w:b/>
              <w:lang w:val="sv-SE"/>
            </w:rPr>
            <w:t>☒</w:t>
          </w:r>
        </w:sdtContent>
      </w:sdt>
      <w:r w:rsidR="0080294B" w:rsidRPr="00D31D0B">
        <w:rPr>
          <w:rFonts w:ascii="Calibri" w:hAnsi="Calibri" w:cs="Arial"/>
          <w:lang w:val="sv-SE"/>
        </w:rPr>
        <w:t xml:space="preserve"> </w:t>
      </w:r>
      <w:r w:rsidR="003D2DC1" w:rsidRPr="00D31D0B">
        <w:rPr>
          <w:rFonts w:ascii="Calibri" w:hAnsi="Calibri" w:cs="Arial"/>
          <w:lang w:val="sv-SE"/>
        </w:rPr>
        <w:t>VTS</w:t>
      </w:r>
      <w:r w:rsidR="0080294B" w:rsidRPr="00D31D0B">
        <w:rPr>
          <w:rFonts w:ascii="Calibri" w:hAnsi="Calibri" w:cs="Arial"/>
          <w:lang w:val="sv-SE"/>
        </w:rPr>
        <w:tab/>
      </w:r>
      <w:r w:rsidR="0080294B" w:rsidRPr="00D31D0B">
        <w:rPr>
          <w:rFonts w:ascii="Calibri" w:hAnsi="Calibri" w:cs="Arial"/>
          <w:lang w:val="sv-SE"/>
        </w:rPr>
        <w:tab/>
      </w:r>
      <w:r w:rsidR="0080294B" w:rsidRPr="00D31D0B">
        <w:rPr>
          <w:rFonts w:ascii="Calibri" w:hAnsi="Calibri" w:cs="Arial"/>
          <w:lang w:val="sv-SE"/>
        </w:rPr>
        <w:tab/>
      </w:r>
      <w:r w:rsidR="0080294B" w:rsidRPr="00D31D0B">
        <w:rPr>
          <w:rFonts w:ascii="Calibri" w:hAnsi="Calibri" w:cs="Arial"/>
          <w:lang w:val="sv-SE"/>
        </w:rPr>
        <w:tab/>
      </w:r>
      <w:r w:rsidR="0080294B" w:rsidRPr="00D31D0B">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EndPr/>
        <w:sdtContent>
          <w:r w:rsidR="00110203" w:rsidRPr="00D31D0B">
            <w:rPr>
              <w:rFonts w:ascii="MS Gothic" w:eastAsia="MS Gothic" w:hAnsi="MS Gothic" w:cs="Arial" w:hint="eastAsia"/>
              <w:b/>
              <w:lang w:val="sv-SE"/>
            </w:rPr>
            <w:t>☐</w:t>
          </w:r>
        </w:sdtContent>
      </w:sdt>
      <w:r w:rsidR="00110203" w:rsidRPr="00D31D0B">
        <w:rPr>
          <w:rFonts w:ascii="Calibri" w:hAnsi="Calibri" w:cs="Arial"/>
          <w:lang w:val="sv-SE"/>
        </w:rPr>
        <w:t xml:space="preserve"> </w:t>
      </w:r>
      <w:r w:rsidR="0080294B" w:rsidRPr="00D31D0B">
        <w:rPr>
          <w:rFonts w:ascii="Calibri" w:hAnsi="Calibri" w:cs="Arial"/>
          <w:lang w:val="sv-SE"/>
        </w:rPr>
        <w:t>Information</w:t>
      </w:r>
    </w:p>
    <w:p w14:paraId="5660DBF1" w14:textId="77777777" w:rsidR="0080294B" w:rsidRPr="00D31D0B" w:rsidRDefault="0080294B" w:rsidP="00FE5674">
      <w:pPr>
        <w:pStyle w:val="BodyText"/>
        <w:tabs>
          <w:tab w:val="left" w:pos="2835"/>
        </w:tabs>
        <w:rPr>
          <w:rFonts w:ascii="Calibri" w:hAnsi="Calibri"/>
          <w:lang w:val="sv-SE"/>
        </w:rPr>
      </w:pPr>
    </w:p>
    <w:p w14:paraId="5CE291C7" w14:textId="789EF622" w:rsidR="00A446C9" w:rsidRPr="00D31D0B" w:rsidRDefault="00A446C9" w:rsidP="00FE5674">
      <w:pPr>
        <w:pStyle w:val="BodyText"/>
        <w:tabs>
          <w:tab w:val="left" w:pos="2835"/>
        </w:tabs>
        <w:rPr>
          <w:rFonts w:ascii="Calibri" w:hAnsi="Calibri"/>
          <w:lang w:val="sv-SE"/>
        </w:rPr>
      </w:pPr>
      <w:r w:rsidRPr="00D31D0B">
        <w:rPr>
          <w:rFonts w:ascii="Calibri" w:hAnsi="Calibri"/>
          <w:b/>
          <w:bCs/>
          <w:color w:val="00558C"/>
          <w:sz w:val="24"/>
          <w:szCs w:val="24"/>
          <w:lang w:val="sv-SE"/>
        </w:rPr>
        <w:t>Agenda item</w:t>
      </w:r>
      <w:r w:rsidR="00037DF4" w:rsidRPr="00D31D0B">
        <w:rPr>
          <w:rFonts w:ascii="Calibri" w:hAnsi="Calibri"/>
          <w:lang w:val="sv-SE"/>
        </w:rPr>
        <w:t xml:space="preserve"> </w:t>
      </w:r>
      <w:r w:rsidR="00037DF4" w:rsidRPr="007A395D">
        <w:rPr>
          <w:rStyle w:val="FootnoteReference"/>
          <w:rFonts w:ascii="Calibri" w:hAnsi="Calibri"/>
          <w:sz w:val="22"/>
        </w:rPr>
        <w:footnoteReference w:id="2"/>
      </w:r>
      <w:r w:rsidR="001C44A3" w:rsidRPr="00D31D0B">
        <w:rPr>
          <w:rFonts w:ascii="Calibri" w:hAnsi="Calibri"/>
          <w:lang w:val="sv-SE"/>
        </w:rPr>
        <w:tab/>
      </w:r>
      <w:r w:rsidR="0080294B" w:rsidRPr="00D31D0B">
        <w:rPr>
          <w:rFonts w:ascii="Calibri" w:hAnsi="Calibri"/>
          <w:lang w:val="sv-SE"/>
        </w:rPr>
        <w:tab/>
      </w:r>
      <w:r w:rsidR="0080294B" w:rsidRPr="00D31D0B">
        <w:rPr>
          <w:rFonts w:ascii="Calibri" w:hAnsi="Calibri"/>
          <w:lang w:val="sv-SE"/>
        </w:rPr>
        <w:tab/>
      </w:r>
      <w:r w:rsidR="00D31D0B">
        <w:rPr>
          <w:rFonts w:ascii="Calibri" w:hAnsi="Calibri"/>
          <w:lang w:val="sv-SE"/>
        </w:rPr>
        <w:t>6.2</w:t>
      </w:r>
    </w:p>
    <w:p w14:paraId="7AFF6857" w14:textId="77777777"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t>New work item - VTS operations</w:t>
      </w:r>
    </w:p>
    <w:p w14:paraId="3352C4C5" w14:textId="127FF407" w:rsidR="0080294B" w:rsidRDefault="00362CD9" w:rsidP="00651B21">
      <w:pPr>
        <w:pStyle w:val="BodyText"/>
        <w:tabs>
          <w:tab w:val="left" w:pos="2835"/>
        </w:tabs>
        <w:rPr>
          <w:rFonts w:ascii="Calibri" w:hAnsi="Calibri"/>
        </w:rPr>
      </w:pPr>
      <w:r w:rsidRPr="0060270D">
        <w:rPr>
          <w:rFonts w:ascii="Calibri" w:hAnsi="Calibri"/>
          <w:b/>
          <w:bCs/>
          <w:color w:val="00558C"/>
          <w:sz w:val="24"/>
          <w:szCs w:val="24"/>
        </w:rPr>
        <w:t>Author(s)</w:t>
      </w:r>
      <w:r w:rsidR="00FE5674" w:rsidRPr="0060270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D512B6">
        <w:rPr>
          <w:rFonts w:ascii="Calibri" w:hAnsi="Calibri"/>
        </w:rPr>
        <w:t xml:space="preserve">On behalf of </w:t>
      </w:r>
      <w:r w:rsidR="00D512B6">
        <w:rPr>
          <w:rFonts w:ascii="Calibri" w:hAnsi="Calibri"/>
          <w:lang w:val="en-US"/>
        </w:rPr>
        <w:t xml:space="preserve">Elman S.R.l.  Pierluigi Flori, </w:t>
      </w:r>
      <w:r w:rsidR="00CE4769">
        <w:rPr>
          <w:rFonts w:ascii="Calibri" w:hAnsi="Calibri"/>
        </w:rPr>
        <w:t>Dmitry Rostopshin, Jillian Carson-Jackson</w:t>
      </w:r>
    </w:p>
    <w:p w14:paraId="09539A74" w14:textId="77777777" w:rsidR="00651B21" w:rsidRPr="007A395D" w:rsidRDefault="00651B21" w:rsidP="00651B21">
      <w:pPr>
        <w:pStyle w:val="BodyText"/>
        <w:tabs>
          <w:tab w:val="left" w:pos="2835"/>
        </w:tabs>
        <w:rPr>
          <w:rFonts w:ascii="Calibri" w:hAnsi="Calibri"/>
        </w:rPr>
      </w:pPr>
    </w:p>
    <w:p w14:paraId="6759024B" w14:textId="77777777" w:rsidR="00AA7EC0" w:rsidRDefault="00665FF4">
      <w:pPr>
        <w:pStyle w:val="Title"/>
      </w:pPr>
      <w:r>
        <w:t>Proposal to Investigate Route-Based Operations for Future VTS</w:t>
      </w:r>
    </w:p>
    <w:p w14:paraId="5CB9F340" w14:textId="77777777" w:rsidR="00AA7EC0" w:rsidRDefault="00665FF4">
      <w:pPr>
        <w:pStyle w:val="Heading1"/>
      </w:pPr>
      <w:r>
        <w:t>Summary</w:t>
      </w:r>
    </w:p>
    <w:p w14:paraId="64B5CFB1" w14:textId="77777777" w:rsidR="00AA7EC0" w:rsidRDefault="00665FF4">
      <w:pPr>
        <w:pStyle w:val="BodyText"/>
      </w:pPr>
      <w:r>
        <w:t xml:space="preserve">This paper proposes a new work item for the next IALA Committee Work Programme to investigate whether route and schedule information exchanged through S-421 and related VTS digital services could support Route-Based Operations in VTS. The work would review relevant experience from aviation Trajectory-Based Operations, assess the potential benefits and limitations of supplementing traditional sector-based monitoring with route-based monitoring and coordination, and determine whether further IALA guidance is </w:t>
      </w:r>
      <w:r>
        <w:t>required.</w:t>
      </w:r>
    </w:p>
    <w:p w14:paraId="2DED934B" w14:textId="77777777" w:rsidR="00AA7EC0" w:rsidRDefault="00665FF4">
      <w:pPr>
        <w:pStyle w:val="Heading2"/>
      </w:pPr>
      <w:r>
        <w:t>Purpose of the document</w:t>
      </w:r>
    </w:p>
    <w:p w14:paraId="0E385D7F" w14:textId="77777777" w:rsidR="00AA7EC0" w:rsidRDefault="00665FF4">
      <w:pPr>
        <w:pStyle w:val="BodyText"/>
      </w:pPr>
      <w:r>
        <w:t>The purpose of this paper is to invite the VTS Committee to agree that Route-Based Operations should be investigated and to include an appropriate task in the next Committee Work Programme.</w:t>
      </w:r>
    </w:p>
    <w:p w14:paraId="23677BEC" w14:textId="77777777" w:rsidR="00AA7EC0" w:rsidRDefault="00665FF4">
      <w:pPr>
        <w:pStyle w:val="Heading2"/>
      </w:pPr>
      <w:r>
        <w:t>Related documents</w:t>
      </w:r>
    </w:p>
    <w:p w14:paraId="5409DBB5" w14:textId="77777777" w:rsidR="00AA7EC0" w:rsidRDefault="00665FF4">
      <w:pPr>
        <w:pStyle w:val="BodyText"/>
      </w:pPr>
      <w:r>
        <w:t>IMO Resolution A.1158(32), Guidelines for Vessel Traffic Services.</w:t>
      </w:r>
    </w:p>
    <w:p w14:paraId="193E99D4" w14:textId="77777777" w:rsidR="00AA7EC0" w:rsidRDefault="00665FF4">
      <w:pPr>
        <w:pStyle w:val="BodyText"/>
      </w:pPr>
      <w:r>
        <w:t>IALA Guideline G1089, Provision of Vessel Traffic Services.</w:t>
      </w:r>
    </w:p>
    <w:p w14:paraId="11A02326" w14:textId="77777777" w:rsidR="00AA7EC0" w:rsidRPr="00CE4769" w:rsidRDefault="00665FF4">
      <w:pPr>
        <w:pStyle w:val="BodyText"/>
        <w:rPr>
          <w:lang w:val="en-US"/>
        </w:rPr>
      </w:pPr>
      <w:r>
        <w:t>IALA Service Specification for VTS - Vessel Route Exchange, Edition 1.0.1.</w:t>
      </w:r>
    </w:p>
    <w:p w14:paraId="47712712" w14:textId="6FF67C5A" w:rsidR="00AA7EC0" w:rsidRDefault="008E0105">
      <w:pPr>
        <w:pStyle w:val="BodyText"/>
      </w:pPr>
      <w:r>
        <w:rPr>
          <w:lang w:val="en-US"/>
        </w:rPr>
        <w:t>IHO</w:t>
      </w:r>
      <w:r>
        <w:t xml:space="preserve"> S-421, Route Plan</w:t>
      </w:r>
    </w:p>
    <w:p w14:paraId="78D879A8" w14:textId="77777777" w:rsidR="00AA7EC0" w:rsidRDefault="00665FF4">
      <w:pPr>
        <w:pStyle w:val="BodyText"/>
      </w:pPr>
      <w:r>
        <w:t>ICAO Doc 9854, Global Air Traffic Management Operational Concept.</w:t>
      </w:r>
    </w:p>
    <w:p w14:paraId="23C02635" w14:textId="77777777" w:rsidR="00AA7EC0" w:rsidRDefault="00665FF4">
      <w:pPr>
        <w:pStyle w:val="Heading1"/>
      </w:pPr>
      <w:r>
        <w:t>Background</w:t>
      </w:r>
    </w:p>
    <w:p w14:paraId="1D86829E" w14:textId="77777777" w:rsidR="00AA7EC0" w:rsidRDefault="00665FF4">
      <w:pPr>
        <w:pStyle w:val="BodyText"/>
      </w:pPr>
      <w:r>
        <w:t xml:space="preserve">Many VTS are organised into geographical sectors, with VTS personnel assigned to a defined area and ships reporting or changing communication channels as they pass sector boundaries. This provides clear local responsibility and remains appropriate for many VTS areas. In multi-sector and high-density VTS areas, </w:t>
      </w:r>
      <w:r>
        <w:lastRenderedPageBreak/>
        <w:t>however, it may also result in repeated routine handovers, a fragmented view of a ship's complete transit and uneven workload between sectors.</w:t>
      </w:r>
    </w:p>
    <w:p w14:paraId="4C4DA630" w14:textId="77777777" w:rsidR="00AA7EC0" w:rsidRDefault="00665FF4">
      <w:pPr>
        <w:pStyle w:val="BodyText"/>
      </w:pPr>
      <w:r>
        <w:t>The S-421 route plan format and the IALA VTS - Vessel Route Exchange Service Specification provide a basis for structured exchange of route and schedule information between ship and shore. The service specification has reached a stage suitable for testing and identifies operational uses including route reference, route cross-checking and route monitoring. Together with developing digital services for traffic clearance, slot management and port call coordination, these capabilities could enable planned route</w:t>
      </w:r>
      <w:r>
        <w:t xml:space="preserve"> information to become an operational reference for VTS rather than an additional display layer only.</w:t>
      </w:r>
    </w:p>
    <w:p w14:paraId="59ED6184" w14:textId="77777777" w:rsidR="00AA7EC0" w:rsidRDefault="00665FF4">
      <w:pPr>
        <w:pStyle w:val="BodyText"/>
      </w:pPr>
      <w:r>
        <w:t>Aviation has developed Trajectory-Based Operations as a strategic, information-driven approach to air traffic management. The agreed trajectory is maintained as a common reference across successive control units and geographical sectors, supporting collaborative planning, traffic flow management and earlier resolution of constraints. Aviation experience is therefore relevant, but it should not be transferred directly to the maritime domain without considering the different legal, operational and human-facto</w:t>
      </w:r>
      <w:r>
        <w:t>r context.</w:t>
      </w:r>
    </w:p>
    <w:p w14:paraId="02C2FC3E" w14:textId="77777777" w:rsidR="00AA7EC0" w:rsidRDefault="00665FF4">
      <w:pPr>
        <w:pStyle w:val="Heading1"/>
      </w:pPr>
      <w:r>
        <w:t>Discussion</w:t>
      </w:r>
    </w:p>
    <w:p w14:paraId="0D539099" w14:textId="77777777" w:rsidR="00AA7EC0" w:rsidRDefault="00665FF4">
      <w:pPr>
        <w:pStyle w:val="Heading2"/>
      </w:pPr>
      <w:r>
        <w:t>Concept to be investigated</w:t>
      </w:r>
    </w:p>
    <w:p w14:paraId="59DEE84B" w14:textId="77777777" w:rsidR="00AA7EC0" w:rsidRDefault="00665FF4">
      <w:pPr>
        <w:pStyle w:val="BodyText"/>
      </w:pPr>
      <w:r>
        <w:t>For the purpose of the proposed study, Route-Based Operations means an operational concept in which planned route and schedule information is used as a common reference for monitoring and coordinating a ship's movement through part or all of a VTS area. This could allow responsibility and workload to be allocated by route, traffic flow, ship movement or operational complexity rather than solely by fixed geographical sector.</w:t>
      </w:r>
    </w:p>
    <w:p w14:paraId="5782643F" w14:textId="77777777" w:rsidR="00AA7EC0" w:rsidRDefault="00665FF4">
      <w:pPr>
        <w:pStyle w:val="BodyText"/>
      </w:pPr>
      <w:r>
        <w:t>Route-Based Operations would not necessarily replace geographical sectors. It could complement the existing model or reduce dependence on sector boundaries where justified. The concept would not alter the responsibility of the master, imply aviation-style positive control, or predetermine the authority of a VTS. These matters would form part of the assessment.</w:t>
      </w:r>
    </w:p>
    <w:p w14:paraId="404C9BBB" w14:textId="77777777" w:rsidR="00AA7EC0" w:rsidRDefault="00665FF4">
      <w:pPr>
        <w:pStyle w:val="Heading2"/>
      </w:pPr>
      <w:r>
        <w:t>Potential operational benefits</w:t>
      </w:r>
    </w:p>
    <w:p w14:paraId="55FF1C6A" w14:textId="77777777" w:rsidR="00AA7EC0" w:rsidRDefault="00665FF4">
      <w:pPr>
        <w:pStyle w:val="BodyText"/>
      </w:pPr>
      <w:r>
        <w:t>The study should assess whether Route-Based Operations could provide the following benefits in appropriate VTS environments:</w:t>
      </w:r>
    </w:p>
    <w:p w14:paraId="36F1F34A" w14:textId="77777777" w:rsidR="00AA7EC0" w:rsidRDefault="00665FF4">
      <w:pPr>
        <w:pStyle w:val="Bullet1"/>
      </w:pPr>
      <w:r>
        <w:t>continuity of monitoring across sector boundaries and fewer routine operational handovers;</w:t>
      </w:r>
    </w:p>
    <w:p w14:paraId="7B0F1D1E" w14:textId="77777777" w:rsidR="00AA7EC0" w:rsidRDefault="00665FF4">
      <w:pPr>
        <w:pStyle w:val="Bullet1"/>
      </w:pPr>
      <w:r>
        <w:t>more balanced allocation of VTS personnel workload according to traffic complexity rather than geography alone;</w:t>
      </w:r>
    </w:p>
    <w:p w14:paraId="0DDD13CB" w14:textId="77777777" w:rsidR="00AA7EC0" w:rsidRDefault="00665FF4">
      <w:pPr>
        <w:pStyle w:val="Bullet1"/>
      </w:pPr>
      <w:r>
        <w:t>earlier identification of route conflicts, bottlenecks, deviations and schedule constraints;</w:t>
      </w:r>
    </w:p>
    <w:p w14:paraId="754D0B04" w14:textId="77777777" w:rsidR="00AA7EC0" w:rsidRDefault="00665FF4">
      <w:pPr>
        <w:pStyle w:val="Bullet1"/>
      </w:pPr>
      <w:r>
        <w:t>support for digital reporting, traffic clearance, slot management and Just-In-Time operations, with fewer administrative voice communications;</w:t>
      </w:r>
    </w:p>
    <w:p w14:paraId="27AC821B" w14:textId="77777777" w:rsidR="00AA7EC0" w:rsidRDefault="00665FF4">
      <w:pPr>
        <w:pStyle w:val="Bullet1"/>
      </w:pPr>
      <w:r>
        <w:t>greater use of automation and exception-based monitoring, allowing VTS personnel to focus on complex or unsafe situations; and</w:t>
      </w:r>
    </w:p>
    <w:p w14:paraId="2007FDC8" w14:textId="77777777" w:rsidR="00AA7EC0" w:rsidRDefault="00665FF4">
      <w:pPr>
        <w:pStyle w:val="Bullet1"/>
      </w:pPr>
      <w:r>
        <w:t>improved predictability and coordination between VTS, ports, pilots and adjacent service providers.</w:t>
      </w:r>
    </w:p>
    <w:p w14:paraId="6D9FAF6E" w14:textId="77777777" w:rsidR="00AA7EC0" w:rsidRDefault="00665FF4">
      <w:pPr>
        <w:pStyle w:val="Heading2"/>
      </w:pPr>
      <w:r>
        <w:t>Matters requiring assessment</w:t>
      </w:r>
    </w:p>
    <w:p w14:paraId="2219FDA2" w14:textId="77777777" w:rsidR="00AA7EC0" w:rsidRDefault="00665FF4">
      <w:pPr>
        <w:pStyle w:val="BodyText"/>
      </w:pPr>
      <w:r>
        <w:t>The potential benefits cannot be assumed. The study should identify the conditions under which the concept could be safe, effective and proportionate, including:</w:t>
      </w:r>
    </w:p>
    <w:p w14:paraId="5A23EE44" w14:textId="77777777" w:rsidR="00AA7EC0" w:rsidRDefault="00665FF4">
      <w:pPr>
        <w:pStyle w:val="Bullet1"/>
      </w:pPr>
      <w:r>
        <w:t>the purpose, authority and responsibilities of VTS, and the continuing responsibilities of the master under applicable instruments;</w:t>
      </w:r>
    </w:p>
    <w:p w14:paraId="2F788C4F" w14:textId="77777777" w:rsidR="00AA7EC0" w:rsidRDefault="00665FF4">
      <w:pPr>
        <w:pStyle w:val="Bullet1"/>
      </w:pPr>
      <w:r>
        <w:lastRenderedPageBreak/>
        <w:t>quality, currency, revision, ownership and cyber security of route and schedule information;</w:t>
      </w:r>
    </w:p>
    <w:p w14:paraId="3EAB71DD" w14:textId="77777777" w:rsidR="00AA7EC0" w:rsidRDefault="00665FF4">
      <w:pPr>
        <w:pStyle w:val="Bullet1"/>
      </w:pPr>
      <w:r>
        <w:t>human factors, including workload, situational awareness, local knowledge, alert management and automation dependency;</w:t>
      </w:r>
    </w:p>
    <w:p w14:paraId="523C09D8" w14:textId="77777777" w:rsidR="00AA7EC0" w:rsidRDefault="00665FF4">
      <w:pPr>
        <w:pStyle w:val="Bullet1"/>
      </w:pPr>
      <w:r>
        <w:t>mixed-mode operations involving ships that cannot or do not exchange digital routes, and operation during degraded communications or system failure;</w:t>
      </w:r>
    </w:p>
    <w:p w14:paraId="64528626" w14:textId="77777777" w:rsidR="00AA7EC0" w:rsidRDefault="00665FF4">
      <w:pPr>
        <w:pStyle w:val="Bullet1"/>
      </w:pPr>
      <w:r>
        <w:t>procedures for assigning, transferring and coordinating responsibility for ships or traffic flows;</w:t>
      </w:r>
    </w:p>
    <w:p w14:paraId="4CF1421C" w14:textId="77777777" w:rsidR="00AA7EC0" w:rsidRDefault="00665FF4">
      <w:pPr>
        <w:pStyle w:val="Bullet1"/>
      </w:pPr>
      <w:r>
        <w:t>applicability to different VTS types and environments, including high-density ports, constrained waterways and wider coastal areas; and</w:t>
      </w:r>
    </w:p>
    <w:p w14:paraId="5E8211FF" w14:textId="77777777" w:rsidR="00AA7EC0" w:rsidRDefault="00665FF4">
      <w:pPr>
        <w:pStyle w:val="Bullet1"/>
      </w:pPr>
      <w:r>
        <w:t>training, system functionality, performance indicators and evidence required to demonstrate benefit.</w:t>
      </w:r>
    </w:p>
    <w:p w14:paraId="3EF95E12" w14:textId="77777777" w:rsidR="00AA7EC0" w:rsidRDefault="00665FF4">
      <w:pPr>
        <w:pStyle w:val="Heading2"/>
      </w:pPr>
      <w:r>
        <w:t>Lessons from aviation</w:t>
      </w:r>
    </w:p>
    <w:p w14:paraId="7F9AAABB" w14:textId="77777777" w:rsidR="00AA7EC0" w:rsidRDefault="00665FF4">
      <w:pPr>
        <w:pStyle w:val="BodyText"/>
      </w:pPr>
      <w:r>
        <w:t>The aviation review should focus on transferable operational principles rather than a direct comparison between air traffic control and VTS. Relevant subjects include the use of an agreed trajectory as a shared reference, the relationship between strategic flow management and tactical intervention, digital clearances, collaborative decision-making, operation across organisational boundaries, phased implementation, mixed-mode operations, human factors and performance measurement.</w:t>
      </w:r>
    </w:p>
    <w:p w14:paraId="6B94D219" w14:textId="77777777" w:rsidR="00AA7EC0" w:rsidRDefault="00665FF4">
      <w:pPr>
        <w:pStyle w:val="BodyText"/>
      </w:pPr>
      <w:r>
        <w:t>The review should also identify aspects that are not directly transferable, including differences in regulatory authority, traffic separation, manoeuvring characteristics, route predictability, communication equipage and the application of the collision regulations.</w:t>
      </w:r>
    </w:p>
    <w:p w14:paraId="474D0730" w14:textId="77777777" w:rsidR="00AA7EC0" w:rsidRDefault="00665FF4">
      <w:pPr>
        <w:pStyle w:val="Heading2"/>
      </w:pPr>
      <w:r>
        <w:t>Proposed work item</w:t>
      </w:r>
    </w:p>
    <w:p w14:paraId="71198AE2" w14:textId="77777777" w:rsidR="00AA7EC0" w:rsidRDefault="00665FF4">
      <w:pPr>
        <w:pStyle w:val="BodyText"/>
      </w:pPr>
      <w:r>
        <w:t>It is proposed that the VTS Committee establish a work item, in liaison with other relevant IALA Committees and external organisations as appropriate, with the following objective:</w:t>
      </w:r>
    </w:p>
    <w:p w14:paraId="7BF2071E" w14:textId="77777777" w:rsidR="00AA7EC0" w:rsidRDefault="00665FF4">
      <w:pPr>
        <w:pStyle w:val="BodyText"/>
      </w:pPr>
      <w:r>
        <w:t>To assess the need, feasibility, potential benefits, limitations and implementation considerations of Route-Based Operations as a future VTS operational concept, taking account of aviation Trajectory-Based Operations and emerging maritime route-exchange capabilities.</w:t>
      </w:r>
    </w:p>
    <w:p w14:paraId="0F081664" w14:textId="77777777" w:rsidR="00AA7EC0" w:rsidRDefault="00665FF4">
      <w:pPr>
        <w:pStyle w:val="BodyText"/>
      </w:pPr>
      <w:r>
        <w:t>The work item should:</w:t>
      </w:r>
    </w:p>
    <w:p w14:paraId="444FC3FC" w14:textId="77777777" w:rsidR="00AA7EC0" w:rsidRDefault="00665FF4">
      <w:pPr>
        <w:pStyle w:val="Bullet1"/>
      </w:pPr>
      <w:r>
        <w:t>define Route-Based Operations and its relationship with existing VTS functions, services and sector-based operating models;</w:t>
      </w:r>
    </w:p>
    <w:p w14:paraId="431E633A" w14:textId="77777777" w:rsidR="00AA7EC0" w:rsidRDefault="00665FF4">
      <w:pPr>
        <w:pStyle w:val="Bullet1"/>
      </w:pPr>
      <w:r>
        <w:t>review relevant aviation concepts, implementation experience, performance evidence and lessons learned;</w:t>
      </w:r>
    </w:p>
    <w:p w14:paraId="7FD18940" w14:textId="77777777" w:rsidR="00AA7EC0" w:rsidRDefault="00665FF4">
      <w:pPr>
        <w:pStyle w:val="Bullet1"/>
      </w:pPr>
      <w:r>
        <w:t>develop representative maritime use cases and identify where the concept may or may not be applicable;</w:t>
      </w:r>
    </w:p>
    <w:p w14:paraId="248B4CA5" w14:textId="77777777" w:rsidR="00AA7EC0" w:rsidRDefault="00665FF4">
      <w:pPr>
        <w:pStyle w:val="Bullet1"/>
      </w:pPr>
      <w:r>
        <w:t>assess operational, legal, human-factor, technical, data-governance and cyber-security implications;</w:t>
      </w:r>
    </w:p>
    <w:p w14:paraId="0F081B1B" w14:textId="77777777" w:rsidR="00AA7EC0" w:rsidRDefault="00665FF4">
      <w:pPr>
        <w:pStyle w:val="Bullet1"/>
      </w:pPr>
      <w:r>
        <w:t>identify suitable benefits, risks and performance measures for trials or simulation; and</w:t>
      </w:r>
    </w:p>
    <w:p w14:paraId="45048106" w14:textId="77777777" w:rsidR="00AA7EC0" w:rsidRDefault="00665FF4">
      <w:pPr>
        <w:pStyle w:val="Bullet1"/>
      </w:pPr>
      <w:r>
        <w:t>recommend whether new IALA guidance, amendments to existing documents, service specifications or further testbeds are required.</w:t>
      </w:r>
    </w:p>
    <w:p w14:paraId="58D68F15" w14:textId="77777777" w:rsidR="00AA7EC0" w:rsidRDefault="00665FF4">
      <w:pPr>
        <w:pStyle w:val="BodyText"/>
      </w:pPr>
      <w:r>
        <w:t>The initial expected outcome should be a Committee report or concept paper with recommendations. The proposed task does not commit IALA to adopting Route-Based Operations or to developing a new mandatory operational model.</w:t>
      </w:r>
    </w:p>
    <w:p w14:paraId="3A3BF28B" w14:textId="77777777" w:rsidR="00AA7EC0" w:rsidRDefault="00665FF4">
      <w:pPr>
        <w:pStyle w:val="Heading1"/>
      </w:pPr>
      <w:r>
        <w:lastRenderedPageBreak/>
        <w:t>Conclusion</w:t>
      </w:r>
    </w:p>
    <w:p w14:paraId="28D49723" w14:textId="77777777" w:rsidR="00AA7EC0" w:rsidRDefault="00665FF4">
      <w:pPr>
        <w:pStyle w:val="BodyText"/>
      </w:pPr>
      <w:r>
        <w:t>Route exchange provides the technical basis for VTS to make greater operational use of planned route and schedule information. The corresponding operational concept has not yet been defined. A focused study of Route-Based Operations would allow IALA to determine whether the concept can improve continuity of monitoring, workload distribution and traffic-flow management, while identifying the conditions and safeguards required for maritime application.</w:t>
      </w:r>
    </w:p>
    <w:p w14:paraId="7EB6EEFB" w14:textId="77777777" w:rsidR="00AA7EC0" w:rsidRDefault="00665FF4">
      <w:pPr>
        <w:pStyle w:val="BodyText"/>
      </w:pPr>
      <w:r>
        <w:t>Creating a limited investigation task in the next Committee Work Programme is a proportionate next step. It preserves the existing sector-based model where appropriate, avoids premature requirements and provides an evidence base for any subsequent IALA work.</w:t>
      </w:r>
    </w:p>
    <w:p w14:paraId="4AFB0825" w14:textId="77777777" w:rsidR="00AA7EC0" w:rsidRDefault="00665FF4">
      <w:pPr>
        <w:pStyle w:val="Heading1"/>
      </w:pPr>
      <w:r>
        <w:t>References</w:t>
      </w:r>
    </w:p>
    <w:p w14:paraId="1B74621D" w14:textId="77777777" w:rsidR="00AA7EC0" w:rsidRDefault="00665FF4">
      <w:pPr>
        <w:pStyle w:val="Reference"/>
      </w:pPr>
      <w:r>
        <w:t>IMO Resolution A.1158(32), Guidelines for Vessel Traffic Services.</w:t>
      </w:r>
    </w:p>
    <w:p w14:paraId="5AE4B0E0" w14:textId="77777777" w:rsidR="00AA7EC0" w:rsidRDefault="00665FF4">
      <w:pPr>
        <w:pStyle w:val="Reference"/>
      </w:pPr>
      <w:r>
        <w:t>IALA Guideline G1089, Provision of Vessel Traffic Services.</w:t>
      </w:r>
    </w:p>
    <w:p w14:paraId="12626003" w14:textId="77777777" w:rsidR="00AA7EC0" w:rsidRDefault="00665FF4">
      <w:pPr>
        <w:pStyle w:val="Reference"/>
      </w:pPr>
      <w:r>
        <w:t>IALA Service Specification for VTS - Vessel Route Exchange, Edition 1.0.1.</w:t>
      </w:r>
    </w:p>
    <w:p w14:paraId="630A1660" w14:textId="77777777" w:rsidR="00AA7EC0" w:rsidRDefault="00665FF4">
      <w:pPr>
        <w:pStyle w:val="Reference"/>
      </w:pPr>
      <w:r>
        <w:t>IEC S-421, Route Plan (IEC 63173-1:2021).</w:t>
      </w:r>
    </w:p>
    <w:p w14:paraId="15093F10" w14:textId="77777777" w:rsidR="00AA7EC0" w:rsidRDefault="00665FF4">
      <w:pPr>
        <w:pStyle w:val="Reference"/>
      </w:pPr>
      <w:r>
        <w:t>IALA VTS59-8.2.1, Proposal on the Development of Guideline on Digital Route Exchange within VTS Operations.</w:t>
      </w:r>
    </w:p>
    <w:p w14:paraId="1EC508A7" w14:textId="77777777" w:rsidR="00AA7EC0" w:rsidRDefault="00665FF4">
      <w:pPr>
        <w:pStyle w:val="Reference"/>
      </w:pPr>
      <w:r>
        <w:t>ICAO Doc 9854, Global Air Traffic Management Operational Concept, First Edition, 2005.</w:t>
      </w:r>
    </w:p>
    <w:p w14:paraId="07E9BF38" w14:textId="77777777" w:rsidR="00AA7EC0" w:rsidRDefault="00665FF4">
      <w:pPr>
        <w:pStyle w:val="Reference"/>
      </w:pPr>
      <w:r>
        <w:t>ICAO, Trajectory-Based Operations in the Asia Pacific Region, First Edition, Version 1.1, September 2025.</w:t>
      </w:r>
    </w:p>
    <w:p w14:paraId="2D5984F0" w14:textId="77777777" w:rsidR="00AA7EC0" w:rsidRDefault="00665FF4">
      <w:pPr>
        <w:pStyle w:val="Heading1"/>
      </w:pPr>
      <w:r>
        <w:t>Action requested of the Committee</w:t>
      </w:r>
    </w:p>
    <w:p w14:paraId="5E4DAA80" w14:textId="77777777" w:rsidR="00AA7EC0" w:rsidRDefault="00665FF4">
      <w:pPr>
        <w:pStyle w:val="BodyText"/>
      </w:pPr>
      <w:r>
        <w:t>The Committee is requested to:</w:t>
      </w:r>
    </w:p>
    <w:p w14:paraId="6492DCFF" w14:textId="77777777" w:rsidR="00AA7EC0" w:rsidRDefault="00665FF4">
      <w:pPr>
        <w:pStyle w:val="List1"/>
      </w:pPr>
      <w:r>
        <w:t>note the information contained in this paper;</w:t>
      </w:r>
    </w:p>
    <w:p w14:paraId="7134FD13" w14:textId="77777777" w:rsidR="00AA7EC0" w:rsidRDefault="00665FF4">
      <w:pPr>
        <w:pStyle w:val="List1"/>
      </w:pPr>
      <w:r>
        <w:t>agree that the applicability of Route-Based Operations to future VTS should be investigated;</w:t>
      </w:r>
    </w:p>
    <w:p w14:paraId="18DDA4F6" w14:textId="77777777" w:rsidR="00AA7EC0" w:rsidRDefault="00665FF4">
      <w:pPr>
        <w:pStyle w:val="List1"/>
      </w:pPr>
      <w:r>
        <w:t>recommend inclusion of a corresponding work item in the next IALA Committee Work Programme; and</w:t>
      </w:r>
    </w:p>
    <w:p w14:paraId="0A0E29F1" w14:textId="77777777" w:rsidR="00AA7EC0" w:rsidRDefault="00665FF4">
      <w:pPr>
        <w:pStyle w:val="List1"/>
      </w:pPr>
      <w:r>
        <w:t>invite Members and relevant organisations to contribute operational, technical and human-factor expertise to the work.</w:t>
      </w:r>
    </w:p>
    <w:sectPr w:rsidR="00AA7EC0"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71F15" w14:textId="77777777" w:rsidR="00665FF4" w:rsidRDefault="00665FF4" w:rsidP="00362CD9">
      <w:r>
        <w:separator/>
      </w:r>
    </w:p>
  </w:endnote>
  <w:endnote w:type="continuationSeparator" w:id="0">
    <w:p w14:paraId="29ABD2B4" w14:textId="77777777" w:rsidR="00665FF4" w:rsidRDefault="00665FF4"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31D1" w14:textId="77777777" w:rsidR="003351C4" w:rsidRDefault="003351C4" w:rsidP="004533B7">
    <w:pPr>
      <w:pStyle w:val="Footerportrait"/>
    </w:pPr>
  </w:p>
  <w:p w14:paraId="6176C91C" w14:textId="5AB41745" w:rsidR="004533B7" w:rsidRPr="00C907DF" w:rsidRDefault="0060270D" w:rsidP="004533B7">
    <w:pPr>
      <w:pStyle w:val="Footerportrait"/>
    </w:pPr>
    <w:fldSimple w:instr=" STYLEREF  Title  \* MERGEFORMAT ">
      <w:r w:rsidR="00D31D0B">
        <w:t>Proposal to Investigate Route-Based Operations for Future VTS</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250E1B21" w14:textId="77777777"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B3635" w14:textId="77777777" w:rsidR="00637047" w:rsidRDefault="00637047" w:rsidP="00637047">
    <w:pPr>
      <w:pStyle w:val="Footerportrait"/>
    </w:pPr>
    <w:r>
      <w:tab/>
    </w:r>
  </w:p>
  <w:p w14:paraId="29AB63ED" w14:textId="77777777" w:rsidR="00637047" w:rsidRPr="00C907DF" w:rsidRDefault="008E0105" w:rsidP="00637047">
    <w:pPr>
      <w:pStyle w:val="Footerportrait"/>
    </w:pPr>
    <w:fldSimple w:instr=" STYLEREF  Title  \* MERGEFORMAT ">
      <w:r>
        <w:t>Proposal to Investigate Route-Based Operations for Future VTS</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2F2543C8" w14:textId="77777777" w:rsidR="00637047" w:rsidRPr="00ED2A8D" w:rsidRDefault="00637047" w:rsidP="00637047">
    <w:pPr>
      <w:pStyle w:val="Footer"/>
    </w:pPr>
  </w:p>
  <w:p w14:paraId="43A60A7A" w14:textId="7777777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1F4E" w14:textId="77777777" w:rsidR="00665FF4" w:rsidRDefault="00665FF4" w:rsidP="00362CD9">
      <w:r>
        <w:separator/>
      </w:r>
    </w:p>
  </w:footnote>
  <w:footnote w:type="continuationSeparator" w:id="0">
    <w:p w14:paraId="04CD7A14" w14:textId="77777777" w:rsidR="00665FF4" w:rsidRDefault="00665FF4" w:rsidP="00362CD9">
      <w:r>
        <w:continuationSeparator/>
      </w:r>
    </w:p>
  </w:footnote>
  <w:footnote w:id="1">
    <w:p w14:paraId="4B1A8F23" w14:textId="77777777"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54F1FD9E" w14:textId="77777777"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356C1" w14:textId="7777777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DF678" w14:textId="77777777"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73753408" w14:textId="77777777" w:rsidR="00BC2334" w:rsidRDefault="00BC2334" w:rsidP="007A395D">
    <w:pPr>
      <w:pStyle w:val="Header"/>
      <w:jc w:val="center"/>
    </w:pPr>
  </w:p>
  <w:p w14:paraId="7259F9F5" w14:textId="77777777"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1"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4"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2659919">
    <w:abstractNumId w:val="0"/>
  </w:num>
  <w:num w:numId="2" w16cid:durableId="119539159">
    <w:abstractNumId w:val="16"/>
  </w:num>
  <w:num w:numId="3" w16cid:durableId="1611087084">
    <w:abstractNumId w:val="2"/>
  </w:num>
  <w:num w:numId="4" w16cid:durableId="798760555">
    <w:abstractNumId w:val="22"/>
  </w:num>
  <w:num w:numId="5" w16cid:durableId="1677421003">
    <w:abstractNumId w:val="14"/>
  </w:num>
  <w:num w:numId="6" w16cid:durableId="800151737">
    <w:abstractNumId w:val="9"/>
  </w:num>
  <w:num w:numId="7" w16cid:durableId="697317610">
    <w:abstractNumId w:val="20"/>
  </w:num>
  <w:num w:numId="8" w16cid:durableId="1871382619">
    <w:abstractNumId w:val="7"/>
  </w:num>
  <w:num w:numId="9" w16cid:durableId="462694074">
    <w:abstractNumId w:val="18"/>
  </w:num>
  <w:num w:numId="10" w16cid:durableId="1175194848">
    <w:abstractNumId w:val="15"/>
  </w:num>
  <w:num w:numId="11" w16cid:durableId="501551650">
    <w:abstractNumId w:val="17"/>
  </w:num>
  <w:num w:numId="12" w16cid:durableId="1986734095">
    <w:abstractNumId w:val="25"/>
  </w:num>
  <w:num w:numId="13" w16cid:durableId="949700748">
    <w:abstractNumId w:val="4"/>
  </w:num>
  <w:num w:numId="14" w16cid:durableId="981811312">
    <w:abstractNumId w:val="10"/>
  </w:num>
  <w:num w:numId="15" w16cid:durableId="390734982">
    <w:abstractNumId w:val="5"/>
  </w:num>
  <w:num w:numId="16" w16cid:durableId="961810561">
    <w:abstractNumId w:val="3"/>
  </w:num>
  <w:num w:numId="17" w16cid:durableId="1523125402">
    <w:abstractNumId w:val="8"/>
  </w:num>
  <w:num w:numId="18" w16cid:durableId="263347873">
    <w:abstractNumId w:val="21"/>
  </w:num>
  <w:num w:numId="19" w16cid:durableId="1235970303">
    <w:abstractNumId w:val="24"/>
  </w:num>
  <w:num w:numId="20" w16cid:durableId="487401802">
    <w:abstractNumId w:val="6"/>
  </w:num>
  <w:num w:numId="21" w16cid:durableId="1001811380">
    <w:abstractNumId w:val="19"/>
  </w:num>
  <w:num w:numId="22" w16cid:durableId="1215508541">
    <w:abstractNumId w:val="13"/>
  </w:num>
  <w:num w:numId="23" w16cid:durableId="1795098208">
    <w:abstractNumId w:val="23"/>
  </w:num>
  <w:num w:numId="24" w16cid:durableId="935796462">
    <w:abstractNumId w:val="12"/>
  </w:num>
  <w:num w:numId="25" w16cid:durableId="296879252">
    <w:abstractNumId w:val="11"/>
  </w:num>
  <w:num w:numId="26" w16cid:durableId="201215105">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398B"/>
    <w:rsid w:val="00036B9E"/>
    <w:rsid w:val="00037DF4"/>
    <w:rsid w:val="00044677"/>
    <w:rsid w:val="000461BB"/>
    <w:rsid w:val="0004700E"/>
    <w:rsid w:val="00057FCA"/>
    <w:rsid w:val="00070C13"/>
    <w:rsid w:val="000715C9"/>
    <w:rsid w:val="00084F33"/>
    <w:rsid w:val="00086F7B"/>
    <w:rsid w:val="000A77A7"/>
    <w:rsid w:val="000B1707"/>
    <w:rsid w:val="000C1B3E"/>
    <w:rsid w:val="000C349E"/>
    <w:rsid w:val="000C619E"/>
    <w:rsid w:val="000C71D0"/>
    <w:rsid w:val="000D6ED1"/>
    <w:rsid w:val="000F5965"/>
    <w:rsid w:val="000F68B5"/>
    <w:rsid w:val="00110203"/>
    <w:rsid w:val="00110AE7"/>
    <w:rsid w:val="00113F81"/>
    <w:rsid w:val="001241C8"/>
    <w:rsid w:val="00135038"/>
    <w:rsid w:val="001529ED"/>
    <w:rsid w:val="001706A1"/>
    <w:rsid w:val="00177F4D"/>
    <w:rsid w:val="00180DDA"/>
    <w:rsid w:val="001834AB"/>
    <w:rsid w:val="00192895"/>
    <w:rsid w:val="00195474"/>
    <w:rsid w:val="001B2A2D"/>
    <w:rsid w:val="001B737D"/>
    <w:rsid w:val="001C22E7"/>
    <w:rsid w:val="001C44A3"/>
    <w:rsid w:val="001C77BB"/>
    <w:rsid w:val="001D01C4"/>
    <w:rsid w:val="001E0E15"/>
    <w:rsid w:val="001F528A"/>
    <w:rsid w:val="001F704E"/>
    <w:rsid w:val="001F79F8"/>
    <w:rsid w:val="00201722"/>
    <w:rsid w:val="00201A0A"/>
    <w:rsid w:val="002125B0"/>
    <w:rsid w:val="00221E08"/>
    <w:rsid w:val="00237D7C"/>
    <w:rsid w:val="00243228"/>
    <w:rsid w:val="00243829"/>
    <w:rsid w:val="00251483"/>
    <w:rsid w:val="00255CAA"/>
    <w:rsid w:val="0025741F"/>
    <w:rsid w:val="00264305"/>
    <w:rsid w:val="00283691"/>
    <w:rsid w:val="0028607B"/>
    <w:rsid w:val="0028672C"/>
    <w:rsid w:val="00286FEF"/>
    <w:rsid w:val="002A0346"/>
    <w:rsid w:val="002A0929"/>
    <w:rsid w:val="002A4487"/>
    <w:rsid w:val="002B49E9"/>
    <w:rsid w:val="002C632E"/>
    <w:rsid w:val="002D3E8B"/>
    <w:rsid w:val="002D4575"/>
    <w:rsid w:val="002D5C0C"/>
    <w:rsid w:val="002E03D1"/>
    <w:rsid w:val="002E10AD"/>
    <w:rsid w:val="002E6B74"/>
    <w:rsid w:val="002E6FCA"/>
    <w:rsid w:val="003148A2"/>
    <w:rsid w:val="00315147"/>
    <w:rsid w:val="003351C4"/>
    <w:rsid w:val="00336AA9"/>
    <w:rsid w:val="0035240B"/>
    <w:rsid w:val="0035243F"/>
    <w:rsid w:val="00356CD0"/>
    <w:rsid w:val="00362CD9"/>
    <w:rsid w:val="003761CA"/>
    <w:rsid w:val="0038049E"/>
    <w:rsid w:val="00380DAF"/>
    <w:rsid w:val="003972CE"/>
    <w:rsid w:val="003A7F6E"/>
    <w:rsid w:val="003B2635"/>
    <w:rsid w:val="003B28F5"/>
    <w:rsid w:val="003B7B7D"/>
    <w:rsid w:val="003C54CB"/>
    <w:rsid w:val="003C5915"/>
    <w:rsid w:val="003C7A2A"/>
    <w:rsid w:val="003D25A2"/>
    <w:rsid w:val="003D2DC1"/>
    <w:rsid w:val="003D576B"/>
    <w:rsid w:val="003D69D0"/>
    <w:rsid w:val="003E66E8"/>
    <w:rsid w:val="003F2918"/>
    <w:rsid w:val="003F430E"/>
    <w:rsid w:val="00405095"/>
    <w:rsid w:val="0041088C"/>
    <w:rsid w:val="0041230E"/>
    <w:rsid w:val="00420A38"/>
    <w:rsid w:val="00426DB3"/>
    <w:rsid w:val="00431B19"/>
    <w:rsid w:val="0044211C"/>
    <w:rsid w:val="004533B7"/>
    <w:rsid w:val="004661AD"/>
    <w:rsid w:val="004860AB"/>
    <w:rsid w:val="004A7D7B"/>
    <w:rsid w:val="004C7B71"/>
    <w:rsid w:val="004D1D85"/>
    <w:rsid w:val="004D3C3A"/>
    <w:rsid w:val="004E1CD1"/>
    <w:rsid w:val="004F7616"/>
    <w:rsid w:val="0050690E"/>
    <w:rsid w:val="005107EB"/>
    <w:rsid w:val="00521345"/>
    <w:rsid w:val="00526DF0"/>
    <w:rsid w:val="00534452"/>
    <w:rsid w:val="00545CC4"/>
    <w:rsid w:val="00551FFF"/>
    <w:rsid w:val="0055423D"/>
    <w:rsid w:val="00556ABA"/>
    <w:rsid w:val="005607A2"/>
    <w:rsid w:val="0056093D"/>
    <w:rsid w:val="00570FB3"/>
    <w:rsid w:val="0057198B"/>
    <w:rsid w:val="00573CFE"/>
    <w:rsid w:val="00593959"/>
    <w:rsid w:val="005969F2"/>
    <w:rsid w:val="00597FAE"/>
    <w:rsid w:val="005B2EDB"/>
    <w:rsid w:val="005B32A3"/>
    <w:rsid w:val="005C0D44"/>
    <w:rsid w:val="005C566C"/>
    <w:rsid w:val="005C7E69"/>
    <w:rsid w:val="005E12EC"/>
    <w:rsid w:val="005E262D"/>
    <w:rsid w:val="005E7612"/>
    <w:rsid w:val="005F23D3"/>
    <w:rsid w:val="005F7E20"/>
    <w:rsid w:val="0060270D"/>
    <w:rsid w:val="00605E43"/>
    <w:rsid w:val="00612D5C"/>
    <w:rsid w:val="006153BB"/>
    <w:rsid w:val="0061596E"/>
    <w:rsid w:val="006300B7"/>
    <w:rsid w:val="00631DA8"/>
    <w:rsid w:val="006353E6"/>
    <w:rsid w:val="00635ADD"/>
    <w:rsid w:val="00637047"/>
    <w:rsid w:val="006448F3"/>
    <w:rsid w:val="00651B21"/>
    <w:rsid w:val="00653667"/>
    <w:rsid w:val="006652C3"/>
    <w:rsid w:val="00665FF4"/>
    <w:rsid w:val="00690C65"/>
    <w:rsid w:val="00691CB8"/>
    <w:rsid w:val="00691FD0"/>
    <w:rsid w:val="00692148"/>
    <w:rsid w:val="0069443E"/>
    <w:rsid w:val="006A1A1E"/>
    <w:rsid w:val="006C1801"/>
    <w:rsid w:val="006C371B"/>
    <w:rsid w:val="006C5948"/>
    <w:rsid w:val="006E2121"/>
    <w:rsid w:val="006F2A74"/>
    <w:rsid w:val="006F359D"/>
    <w:rsid w:val="00701ED7"/>
    <w:rsid w:val="007118F5"/>
    <w:rsid w:val="00712AA4"/>
    <w:rsid w:val="007146C4"/>
    <w:rsid w:val="00721AA1"/>
    <w:rsid w:val="00724B67"/>
    <w:rsid w:val="00737B0A"/>
    <w:rsid w:val="00737F24"/>
    <w:rsid w:val="007547F8"/>
    <w:rsid w:val="00763925"/>
    <w:rsid w:val="00765622"/>
    <w:rsid w:val="0076588E"/>
    <w:rsid w:val="00770B6C"/>
    <w:rsid w:val="00774296"/>
    <w:rsid w:val="00774730"/>
    <w:rsid w:val="00783FEA"/>
    <w:rsid w:val="007926DC"/>
    <w:rsid w:val="007A395D"/>
    <w:rsid w:val="007C346C"/>
    <w:rsid w:val="007D63E3"/>
    <w:rsid w:val="007F32F2"/>
    <w:rsid w:val="0080294B"/>
    <w:rsid w:val="008239B5"/>
    <w:rsid w:val="0082480E"/>
    <w:rsid w:val="00825402"/>
    <w:rsid w:val="00844BD6"/>
    <w:rsid w:val="00845838"/>
    <w:rsid w:val="00850293"/>
    <w:rsid w:val="00851373"/>
    <w:rsid w:val="00851BA6"/>
    <w:rsid w:val="0085654D"/>
    <w:rsid w:val="00856CEB"/>
    <w:rsid w:val="00857C3C"/>
    <w:rsid w:val="00861160"/>
    <w:rsid w:val="00861801"/>
    <w:rsid w:val="0086654F"/>
    <w:rsid w:val="008702A8"/>
    <w:rsid w:val="0087239B"/>
    <w:rsid w:val="00892CA4"/>
    <w:rsid w:val="008A34E8"/>
    <w:rsid w:val="008A356F"/>
    <w:rsid w:val="008A3ECA"/>
    <w:rsid w:val="008A4653"/>
    <w:rsid w:val="008A4717"/>
    <w:rsid w:val="008A50CC"/>
    <w:rsid w:val="008A55C9"/>
    <w:rsid w:val="008A6D9E"/>
    <w:rsid w:val="008D1694"/>
    <w:rsid w:val="008D3606"/>
    <w:rsid w:val="008D79CB"/>
    <w:rsid w:val="008E0105"/>
    <w:rsid w:val="008E28CC"/>
    <w:rsid w:val="008E58F1"/>
    <w:rsid w:val="008F07BC"/>
    <w:rsid w:val="00900844"/>
    <w:rsid w:val="00904066"/>
    <w:rsid w:val="00905C11"/>
    <w:rsid w:val="00906FE6"/>
    <w:rsid w:val="009126B1"/>
    <w:rsid w:val="00912806"/>
    <w:rsid w:val="009128BB"/>
    <w:rsid w:val="0092692B"/>
    <w:rsid w:val="00943E9C"/>
    <w:rsid w:val="00953F4D"/>
    <w:rsid w:val="00955907"/>
    <w:rsid w:val="00960BB8"/>
    <w:rsid w:val="00964F5C"/>
    <w:rsid w:val="00973B57"/>
    <w:rsid w:val="009831C0"/>
    <w:rsid w:val="009874F9"/>
    <w:rsid w:val="0099161D"/>
    <w:rsid w:val="009C5F41"/>
    <w:rsid w:val="009D2130"/>
    <w:rsid w:val="009F6B11"/>
    <w:rsid w:val="00A01B17"/>
    <w:rsid w:val="00A0389B"/>
    <w:rsid w:val="00A15B35"/>
    <w:rsid w:val="00A26017"/>
    <w:rsid w:val="00A446C9"/>
    <w:rsid w:val="00A47FD9"/>
    <w:rsid w:val="00A56C33"/>
    <w:rsid w:val="00A635D6"/>
    <w:rsid w:val="00A72757"/>
    <w:rsid w:val="00A800A9"/>
    <w:rsid w:val="00A8553A"/>
    <w:rsid w:val="00A858C1"/>
    <w:rsid w:val="00A93AED"/>
    <w:rsid w:val="00AA7EC0"/>
    <w:rsid w:val="00AB0867"/>
    <w:rsid w:val="00AD280E"/>
    <w:rsid w:val="00AD4086"/>
    <w:rsid w:val="00AE1319"/>
    <w:rsid w:val="00AE34BB"/>
    <w:rsid w:val="00AF00B4"/>
    <w:rsid w:val="00B0084A"/>
    <w:rsid w:val="00B02B56"/>
    <w:rsid w:val="00B0510E"/>
    <w:rsid w:val="00B0520E"/>
    <w:rsid w:val="00B113FD"/>
    <w:rsid w:val="00B149D1"/>
    <w:rsid w:val="00B226F2"/>
    <w:rsid w:val="00B274DF"/>
    <w:rsid w:val="00B351F6"/>
    <w:rsid w:val="00B4106C"/>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2972"/>
    <w:rsid w:val="00BE700D"/>
    <w:rsid w:val="00BF32F0"/>
    <w:rsid w:val="00BF3D09"/>
    <w:rsid w:val="00BF4DCE"/>
    <w:rsid w:val="00C02DDD"/>
    <w:rsid w:val="00C05CE5"/>
    <w:rsid w:val="00C1544D"/>
    <w:rsid w:val="00C333A4"/>
    <w:rsid w:val="00C41E58"/>
    <w:rsid w:val="00C52A4D"/>
    <w:rsid w:val="00C6171E"/>
    <w:rsid w:val="00C84C6A"/>
    <w:rsid w:val="00C860EC"/>
    <w:rsid w:val="00C865DF"/>
    <w:rsid w:val="00C92663"/>
    <w:rsid w:val="00CA6F2C"/>
    <w:rsid w:val="00CC6AC4"/>
    <w:rsid w:val="00CC79CE"/>
    <w:rsid w:val="00CD0785"/>
    <w:rsid w:val="00CE4769"/>
    <w:rsid w:val="00CF1871"/>
    <w:rsid w:val="00D019CE"/>
    <w:rsid w:val="00D1133E"/>
    <w:rsid w:val="00D174F7"/>
    <w:rsid w:val="00D17A34"/>
    <w:rsid w:val="00D26628"/>
    <w:rsid w:val="00D31D0B"/>
    <w:rsid w:val="00D332B3"/>
    <w:rsid w:val="00D423E5"/>
    <w:rsid w:val="00D46B5A"/>
    <w:rsid w:val="00D50B3E"/>
    <w:rsid w:val="00D512B6"/>
    <w:rsid w:val="00D55207"/>
    <w:rsid w:val="00D554A5"/>
    <w:rsid w:val="00D60825"/>
    <w:rsid w:val="00D81801"/>
    <w:rsid w:val="00D92B45"/>
    <w:rsid w:val="00D95962"/>
    <w:rsid w:val="00DC1D6A"/>
    <w:rsid w:val="00DC389B"/>
    <w:rsid w:val="00DC5654"/>
    <w:rsid w:val="00DC67FC"/>
    <w:rsid w:val="00DD33A6"/>
    <w:rsid w:val="00DD77CE"/>
    <w:rsid w:val="00DE2FEE"/>
    <w:rsid w:val="00E00BE9"/>
    <w:rsid w:val="00E0400D"/>
    <w:rsid w:val="00E04761"/>
    <w:rsid w:val="00E22A11"/>
    <w:rsid w:val="00E31E5C"/>
    <w:rsid w:val="00E3590B"/>
    <w:rsid w:val="00E44DD2"/>
    <w:rsid w:val="00E50503"/>
    <w:rsid w:val="00E558C3"/>
    <w:rsid w:val="00E55927"/>
    <w:rsid w:val="00E56865"/>
    <w:rsid w:val="00E912A6"/>
    <w:rsid w:val="00EA17DB"/>
    <w:rsid w:val="00EA4844"/>
    <w:rsid w:val="00EA4D9C"/>
    <w:rsid w:val="00EA5A97"/>
    <w:rsid w:val="00EB75EE"/>
    <w:rsid w:val="00EC1C32"/>
    <w:rsid w:val="00EE4C1D"/>
    <w:rsid w:val="00EF3685"/>
    <w:rsid w:val="00F04350"/>
    <w:rsid w:val="00F133DB"/>
    <w:rsid w:val="00F159EB"/>
    <w:rsid w:val="00F25BF4"/>
    <w:rsid w:val="00F267DB"/>
    <w:rsid w:val="00F3340A"/>
    <w:rsid w:val="00F41E17"/>
    <w:rsid w:val="00F43841"/>
    <w:rsid w:val="00F46F6F"/>
    <w:rsid w:val="00F60608"/>
    <w:rsid w:val="00F62217"/>
    <w:rsid w:val="00F71ACC"/>
    <w:rsid w:val="00F9211E"/>
    <w:rsid w:val="00FA3A25"/>
    <w:rsid w:val="00FB0C9A"/>
    <w:rsid w:val="00FB17A9"/>
    <w:rsid w:val="00FB2C1A"/>
    <w:rsid w:val="00FB527C"/>
    <w:rsid w:val="00FB6F75"/>
    <w:rsid w:val="00FC0EB3"/>
    <w:rsid w:val="00FC2714"/>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861FA8"/>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18"/>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eastAsiaTheme="majorEastAsia" w:cstheme="majorBidi"/>
      <w:b/>
      <w:caps/>
      <w:color w:val="00558C"/>
      <w:sz w:val="24"/>
      <w:szCs w:val="24"/>
      <w:lang w:eastAsia="en-US"/>
    </w:rPr>
  </w:style>
  <w:style w:type="paragraph" w:customStyle="1" w:styleId="Annex">
    <w:name w:val="Annex"/>
    <w:next w:val="BodyText"/>
    <w:link w:val="AnnexChar"/>
    <w:qFormat/>
    <w:rsid w:val="0025741F"/>
    <w:pPr>
      <w:numPr>
        <w:numId w:val="1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11"/>
      </w:numPr>
      <w:spacing w:after="120"/>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12"/>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1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7"/>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eastAsiaTheme="majorEastAsia"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eastAsiaTheme="majorEastAsia" w:cstheme="majorBidi"/>
      <w:b/>
      <w:iCs/>
      <w:color w:val="00558C"/>
      <w:sz w:val="22"/>
      <w:szCs w:val="24"/>
      <w:lang w:eastAsia="en-US"/>
    </w:rPr>
  </w:style>
  <w:style w:type="character" w:customStyle="1" w:styleId="Heading5Char">
    <w:name w:val="Heading 5 Char"/>
    <w:basedOn w:val="DefaultParagraphFont"/>
    <w:link w:val="Heading5"/>
    <w:rsid w:val="0025741F"/>
    <w:rPr>
      <w:rFonts w:eastAsiaTheme="majorEastAsia"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10"/>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9"/>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10"/>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20"/>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20"/>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13"/>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16"/>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15"/>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23"/>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23"/>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14"/>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25"/>
      </w:numPr>
      <w:jc w:val="center"/>
    </w:pPr>
    <w:rPr>
      <w:i/>
      <w:color w:val="00558C"/>
      <w:lang w:eastAsia="en-GB"/>
    </w:rPr>
  </w:style>
  <w:style w:type="paragraph" w:customStyle="1" w:styleId="Figurecaption">
    <w:name w:val="Figure caption"/>
    <w:basedOn w:val="Caption"/>
    <w:next w:val="BodyText"/>
    <w:qFormat/>
    <w:rsid w:val="0025741F"/>
    <w:pPr>
      <w:numPr>
        <w:numId w:val="17"/>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8"/>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21"/>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22"/>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24"/>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20"/>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paragraph" w:customStyle="1" w:styleId="AnnexCHead1">
    <w:name w:val="Annex C Head 1"/>
    <w:basedOn w:val="Normal"/>
    <w:next w:val="Normal"/>
    <w:rsid w:val="00C1544D"/>
    <w:pPr>
      <w:numPr>
        <w:numId w:val="26"/>
      </w:numPr>
      <w:spacing w:before="240" w:after="120"/>
    </w:pPr>
    <w:rPr>
      <w:rFonts w:eastAsiaTheme="minorEastAsia"/>
      <w:b/>
      <w:caps/>
      <w:color w:val="407EC9"/>
      <w:sz w:val="28"/>
    </w:rPr>
  </w:style>
  <w:style w:type="paragraph" w:customStyle="1" w:styleId="AnnexCHead2">
    <w:name w:val="Annex C Head 2"/>
    <w:basedOn w:val="Normal"/>
    <w:next w:val="Heading2separationline"/>
    <w:rsid w:val="00C1544D"/>
    <w:pPr>
      <w:numPr>
        <w:ilvl w:val="1"/>
        <w:numId w:val="26"/>
      </w:numPr>
    </w:pPr>
    <w:rPr>
      <w:rFonts w:eastAsiaTheme="minorEastAsia"/>
      <w:b/>
      <w:caps/>
      <w:color w:val="407EC9"/>
      <w:sz w:val="24"/>
    </w:rPr>
  </w:style>
  <w:style w:type="paragraph" w:customStyle="1" w:styleId="AnnexCHead3">
    <w:name w:val="Annex C Head 3"/>
    <w:basedOn w:val="Normal"/>
    <w:rsid w:val="00C1544D"/>
    <w:pPr>
      <w:numPr>
        <w:ilvl w:val="2"/>
        <w:numId w:val="26"/>
      </w:numPr>
      <w:spacing w:before="120" w:after="120"/>
    </w:pPr>
    <w:rPr>
      <w:rFonts w:eastAsiaTheme="minorEastAsia"/>
      <w:b/>
      <w:smallCaps/>
      <w:color w:val="407EC9"/>
      <w:sz w:val="22"/>
    </w:rPr>
  </w:style>
  <w:style w:type="paragraph" w:customStyle="1" w:styleId="AnnexCHead4">
    <w:name w:val="Annex C Head 4"/>
    <w:basedOn w:val="Normal"/>
    <w:next w:val="BodyText"/>
    <w:rsid w:val="00C1544D"/>
    <w:pPr>
      <w:numPr>
        <w:ilvl w:val="3"/>
        <w:numId w:val="26"/>
      </w:numPr>
      <w:spacing w:before="120" w:after="120"/>
    </w:pPr>
    <w:rPr>
      <w:rFonts w:eastAsiaTheme="minorEastAsia"/>
      <w:b/>
      <w:color w:val="407EC9"/>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9856">
      <w:bodyDiv w:val="1"/>
      <w:marLeft w:val="0"/>
      <w:marRight w:val="0"/>
      <w:marTop w:val="0"/>
      <w:marBottom w:val="0"/>
      <w:divBdr>
        <w:top w:val="none" w:sz="0" w:space="0" w:color="auto"/>
        <w:left w:val="none" w:sz="0" w:space="0" w:color="auto"/>
        <w:bottom w:val="none" w:sz="0" w:space="0" w:color="auto"/>
        <w:right w:val="none" w:sz="0" w:space="0" w:color="auto"/>
      </w:divBdr>
      <w:divsChild>
        <w:div w:id="1377388103">
          <w:blockQuote w:val="1"/>
          <w:marLeft w:val="720"/>
          <w:marRight w:val="720"/>
          <w:marTop w:val="100"/>
          <w:marBottom w:val="100"/>
          <w:divBdr>
            <w:top w:val="none" w:sz="0" w:space="0" w:color="auto"/>
            <w:left w:val="none" w:sz="0" w:space="0" w:color="auto"/>
            <w:bottom w:val="none" w:sz="0" w:space="0" w:color="auto"/>
            <w:right w:val="none" w:sz="0" w:space="0" w:color="auto"/>
          </w:divBdr>
        </w:div>
        <w:div w:id="964653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2832314">
      <w:bodyDiv w:val="1"/>
      <w:marLeft w:val="0"/>
      <w:marRight w:val="0"/>
      <w:marTop w:val="0"/>
      <w:marBottom w:val="0"/>
      <w:divBdr>
        <w:top w:val="none" w:sz="0" w:space="0" w:color="auto"/>
        <w:left w:val="none" w:sz="0" w:space="0" w:color="auto"/>
        <w:bottom w:val="none" w:sz="0" w:space="0" w:color="auto"/>
        <w:right w:val="none" w:sz="0" w:space="0" w:color="auto"/>
      </w:divBdr>
    </w:div>
    <w:div w:id="652760606">
      <w:bodyDiv w:val="1"/>
      <w:marLeft w:val="0"/>
      <w:marRight w:val="0"/>
      <w:marTop w:val="0"/>
      <w:marBottom w:val="0"/>
      <w:divBdr>
        <w:top w:val="none" w:sz="0" w:space="0" w:color="auto"/>
        <w:left w:val="none" w:sz="0" w:space="0" w:color="auto"/>
        <w:bottom w:val="none" w:sz="0" w:space="0" w:color="auto"/>
        <w:right w:val="none" w:sz="0" w:space="0" w:color="auto"/>
      </w:divBdr>
      <w:divsChild>
        <w:div w:id="16208422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884447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5735925">
      <w:bodyDiv w:val="1"/>
      <w:marLeft w:val="0"/>
      <w:marRight w:val="0"/>
      <w:marTop w:val="0"/>
      <w:marBottom w:val="0"/>
      <w:divBdr>
        <w:top w:val="none" w:sz="0" w:space="0" w:color="auto"/>
        <w:left w:val="none" w:sz="0" w:space="0" w:color="auto"/>
        <w:bottom w:val="none" w:sz="0" w:space="0" w:color="auto"/>
        <w:right w:val="none" w:sz="0" w:space="0" w:color="auto"/>
      </w:divBdr>
    </w:div>
    <w:div w:id="1161699880">
      <w:bodyDiv w:val="1"/>
      <w:marLeft w:val="0"/>
      <w:marRight w:val="0"/>
      <w:marTop w:val="0"/>
      <w:marBottom w:val="0"/>
      <w:divBdr>
        <w:top w:val="none" w:sz="0" w:space="0" w:color="auto"/>
        <w:left w:val="none" w:sz="0" w:space="0" w:color="auto"/>
        <w:bottom w:val="none" w:sz="0" w:space="0" w:color="auto"/>
        <w:right w:val="none" w:sz="0" w:space="0" w:color="auto"/>
      </w:divBdr>
      <w:divsChild>
        <w:div w:id="744452686">
          <w:blockQuote w:val="1"/>
          <w:marLeft w:val="720"/>
          <w:marRight w:val="720"/>
          <w:marTop w:val="100"/>
          <w:marBottom w:val="100"/>
          <w:divBdr>
            <w:top w:val="none" w:sz="0" w:space="0" w:color="auto"/>
            <w:left w:val="none" w:sz="0" w:space="0" w:color="auto"/>
            <w:bottom w:val="none" w:sz="0" w:space="0" w:color="auto"/>
            <w:right w:val="none" w:sz="0" w:space="0" w:color="auto"/>
          </w:divBdr>
        </w:div>
        <w:div w:id="976034052">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0363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7518365">
      <w:bodyDiv w:val="1"/>
      <w:marLeft w:val="0"/>
      <w:marRight w:val="0"/>
      <w:marTop w:val="0"/>
      <w:marBottom w:val="0"/>
      <w:divBdr>
        <w:top w:val="none" w:sz="0" w:space="0" w:color="auto"/>
        <w:left w:val="none" w:sz="0" w:space="0" w:color="auto"/>
        <w:bottom w:val="none" w:sz="0" w:space="0" w:color="auto"/>
        <w:right w:val="none" w:sz="0" w:space="0" w:color="auto"/>
      </w:divBdr>
      <w:divsChild>
        <w:div w:id="1883786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333355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616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3.xml><?xml version="1.0" encoding="utf-8"?>
<ds:datastoreItem xmlns:ds="http://schemas.openxmlformats.org/officeDocument/2006/customXml" ds:itemID="{C635CF2A-2769-49C9-BE26-DC6EB0BB4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4</Pages>
  <Words>1302</Words>
  <Characters>8310</Characters>
  <Application>Microsoft Office Word</Application>
  <DocSecurity>0</DocSecurity>
  <Lines>140</Lines>
  <Paragraphs>85</Paragraphs>
  <ScaleCrop>false</ScaleCrop>
  <HeadingPairs>
    <vt:vector size="2" baseType="variant">
      <vt:variant>
        <vt:lpstr>Title</vt:lpstr>
      </vt:variant>
      <vt:variant>
        <vt:i4>1</vt:i4>
      </vt:variant>
    </vt:vector>
  </HeadingPairs>
  <TitlesOfParts>
    <vt:vector size="1" baseType="lpstr">
      <vt:lpstr>Proposal to Investigate Route-Based Operations for Future VTS</vt:lpstr>
    </vt:vector>
  </TitlesOfParts>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to Investigate Route-Based Operations for Future VTS</dc:title>
  <dc:subject>IALA VTS Committee input paper on Route-Based Operations</dc:subject>
  <dc:creator>DiNav Marine Oy</dc:creator>
  <cp:keywords>IALA, VTS, radar, climate resilience, extreme weather, G1111-3</cp:keywords>
  <cp:lastModifiedBy>Tom Southall</cp:lastModifiedBy>
  <cp:revision>16</cp:revision>
  <dcterms:created xsi:type="dcterms:W3CDTF">2026-01-29T06:57:00Z</dcterms:created>
  <dcterms:modified xsi:type="dcterms:W3CDTF">2026-08-20T07:24:00Z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